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323" w14:textId="77777777" w:rsidR="00BD3C98" w:rsidRDefault="00BD3C98" w:rsidP="00BD3C98">
      <w:pPr>
        <w:pStyle w:val="HeadingA"/>
      </w:pPr>
      <w:r>
        <w:t>Quarterly analysis of standards themes arising</w:t>
      </w:r>
    </w:p>
    <w:p w14:paraId="63AD09CA" w14:textId="77777777" w:rsidR="00BD3C98" w:rsidRDefault="00BD3C98" w:rsidP="00BD3C98">
      <w:pPr>
        <w:pStyle w:val="HeadingA"/>
      </w:pPr>
    </w:p>
    <w:p w14:paraId="005D6D71" w14:textId="1C0736C3" w:rsidR="00BD3C98" w:rsidRDefault="00BD3C98" w:rsidP="00BD3C98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Themes between </w:t>
      </w:r>
      <w:r w:rsidR="002C2569">
        <w:rPr>
          <w:rFonts w:ascii="Futura Bk BT" w:hAnsi="Futura Bk BT"/>
        </w:rPr>
        <w:t xml:space="preserve">July </w:t>
      </w:r>
      <w:r>
        <w:rPr>
          <w:rFonts w:ascii="Futura Bk BT" w:hAnsi="Futura Bk BT"/>
        </w:rPr>
        <w:t>and</w:t>
      </w:r>
      <w:r w:rsidR="002C2569">
        <w:rPr>
          <w:rFonts w:ascii="Futura Bk BT" w:hAnsi="Futura Bk BT"/>
        </w:rPr>
        <w:t xml:space="preserve"> September</w:t>
      </w:r>
      <w:r>
        <w:rPr>
          <w:rFonts w:ascii="Futura Bk BT" w:hAnsi="Futura Bk BT"/>
        </w:rPr>
        <w:t xml:space="preserve"> </w:t>
      </w:r>
      <w:r w:rsidR="004E1E15">
        <w:rPr>
          <w:rFonts w:ascii="Futura Bk BT" w:hAnsi="Futura Bk BT"/>
        </w:rPr>
        <w:t>202</w:t>
      </w:r>
      <w:r w:rsidR="00355524">
        <w:rPr>
          <w:rFonts w:ascii="Futura Bk BT" w:hAnsi="Futura Bk BT"/>
        </w:rPr>
        <w:t>3</w:t>
      </w:r>
    </w:p>
    <w:p w14:paraId="1B3C4079" w14:textId="77777777" w:rsidR="00BD3C98" w:rsidRPr="001D3071" w:rsidRDefault="00BD3C98" w:rsidP="00BD3C98">
      <w:pPr>
        <w:rPr>
          <w:rFonts w:ascii="Futura Bk BT" w:hAnsi="Futura Bk BT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38"/>
        <w:gridCol w:w="5387"/>
        <w:gridCol w:w="6520"/>
      </w:tblGrid>
      <w:tr w:rsidR="00B45BF8" w:rsidRPr="00B45BF8" w14:paraId="5F1E0A25" w14:textId="77777777" w:rsidTr="00B45BF8">
        <w:trPr>
          <w:tblHeader/>
        </w:trPr>
        <w:tc>
          <w:tcPr>
            <w:tcW w:w="1838" w:type="dxa"/>
            <w:shd w:val="clear" w:color="auto" w:fill="009999"/>
          </w:tcPr>
          <w:p w14:paraId="7182332E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Theme</w:t>
            </w:r>
          </w:p>
        </w:tc>
        <w:tc>
          <w:tcPr>
            <w:tcW w:w="5387" w:type="dxa"/>
            <w:shd w:val="clear" w:color="auto" w:fill="009999"/>
          </w:tcPr>
          <w:p w14:paraId="2AF2500B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Issues arising</w:t>
            </w:r>
          </w:p>
        </w:tc>
        <w:tc>
          <w:tcPr>
            <w:tcW w:w="6520" w:type="dxa"/>
            <w:shd w:val="clear" w:color="auto" w:fill="009999"/>
          </w:tcPr>
          <w:p w14:paraId="2CF571DE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Actions by IPSO in response</w:t>
            </w:r>
          </w:p>
        </w:tc>
      </w:tr>
      <w:tr w:rsidR="00BD3C98" w:rsidRPr="001D3071" w14:paraId="234FF960" w14:textId="77777777" w:rsidTr="00015EC4">
        <w:trPr>
          <w:trHeight w:val="524"/>
        </w:trPr>
        <w:tc>
          <w:tcPr>
            <w:tcW w:w="1838" w:type="dxa"/>
          </w:tcPr>
          <w:p w14:paraId="7D7CE9AB" w14:textId="744E65BF" w:rsidR="00BD3C98" w:rsidRPr="00B72A1A" w:rsidRDefault="00B04854" w:rsidP="00BD3C98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Court reporting</w:t>
            </w:r>
          </w:p>
        </w:tc>
        <w:tc>
          <w:tcPr>
            <w:tcW w:w="5387" w:type="dxa"/>
          </w:tcPr>
          <w:p w14:paraId="2F9DE1C2" w14:textId="77777777" w:rsidR="00BD3C98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Inaccurate reporting of an address in relation to a court report.</w:t>
            </w:r>
          </w:p>
          <w:p w14:paraId="3D9B4BB6" w14:textId="77777777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6680BC20" w14:textId="164E4BB5" w:rsidR="00B04854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The reason for</w:t>
            </w:r>
            <w:r w:rsidR="00B04854">
              <w:rPr>
                <w:rFonts w:ascii="Futura Bk BT" w:hAnsi="Futura Bk BT"/>
                <w:szCs w:val="22"/>
              </w:rPr>
              <w:t xml:space="preserve"> a local councillor</w:t>
            </w:r>
            <w:r>
              <w:rPr>
                <w:rFonts w:ascii="Futura Bk BT" w:hAnsi="Futura Bk BT"/>
                <w:szCs w:val="22"/>
              </w:rPr>
              <w:t xml:space="preserve"> appearing in court</w:t>
            </w:r>
            <w:r w:rsidR="00B04854">
              <w:rPr>
                <w:rFonts w:ascii="Futura Bk BT" w:hAnsi="Futura Bk BT"/>
                <w:szCs w:val="22"/>
              </w:rPr>
              <w:t xml:space="preserve"> was inaccurately reported.</w:t>
            </w:r>
          </w:p>
          <w:p w14:paraId="5F25EAD1" w14:textId="56402EC6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351C6D18" w14:textId="26441652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Inaccurate reporting of the charges faced by a defendant.</w:t>
            </w:r>
          </w:p>
          <w:p w14:paraId="671DBB51" w14:textId="77777777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01C7CD1D" w14:textId="54BB26FC" w:rsidR="00B04854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Family court proceedings relating to a sperm donor were reported inaccurately.</w:t>
            </w:r>
          </w:p>
          <w:p w14:paraId="3C1D52D0" w14:textId="1A79E284" w:rsidR="00B04854" w:rsidRPr="00B72A1A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  <w:tc>
          <w:tcPr>
            <w:tcW w:w="6520" w:type="dxa"/>
          </w:tcPr>
          <w:p w14:paraId="43620B15" w14:textId="5758EB5F" w:rsidR="00BD3C98" w:rsidRPr="00B72A1A" w:rsidRDefault="00B04854" w:rsidP="002C2569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IPSO </w:t>
            </w:r>
            <w:hyperlink r:id="rId4" w:history="1">
              <w:r w:rsidRPr="002C2569">
                <w:rPr>
                  <w:rStyle w:val="Hyperlink"/>
                  <w:rFonts w:ascii="Futura Bk BT" w:hAnsi="Futura Bk BT"/>
                  <w:szCs w:val="22"/>
                  <w:lang w:val="en-US"/>
                </w:rPr>
                <w:t>guidance on court reporting</w:t>
              </w:r>
            </w:hyperlink>
            <w:r>
              <w:rPr>
                <w:rFonts w:ascii="Futura Bk BT" w:hAnsi="Futura Bk BT"/>
                <w:szCs w:val="22"/>
                <w:lang w:val="en-US"/>
              </w:rPr>
              <w:t xml:space="preserve"> </w:t>
            </w:r>
            <w:r w:rsidR="002C2569">
              <w:rPr>
                <w:rFonts w:ascii="Futura Bk BT" w:hAnsi="Futura Bk BT"/>
                <w:szCs w:val="22"/>
                <w:lang w:val="en-US"/>
              </w:rPr>
              <w:t xml:space="preserve">for journalists 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published in 2022. </w:t>
            </w:r>
          </w:p>
        </w:tc>
      </w:tr>
      <w:tr w:rsidR="00BD3C98" w:rsidRPr="001D3071" w14:paraId="2C4C2194" w14:textId="77777777" w:rsidTr="00015EC4">
        <w:trPr>
          <w:trHeight w:val="787"/>
        </w:trPr>
        <w:tc>
          <w:tcPr>
            <w:tcW w:w="1838" w:type="dxa"/>
          </w:tcPr>
          <w:p w14:paraId="4E1E9C0F" w14:textId="1D124C36" w:rsidR="00BD3C98" w:rsidRPr="00B72A1A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Harassment / privacy</w:t>
            </w:r>
          </w:p>
        </w:tc>
        <w:tc>
          <w:tcPr>
            <w:tcW w:w="5387" w:type="dxa"/>
          </w:tcPr>
          <w:p w14:paraId="0755D088" w14:textId="2AD36F49" w:rsidR="00BD3C98" w:rsidRPr="00B72A1A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Breach of a woman’s privacy by photographing her after a private advisory notice had been issued.</w:t>
            </w:r>
          </w:p>
        </w:tc>
        <w:tc>
          <w:tcPr>
            <w:tcW w:w="6520" w:type="dxa"/>
          </w:tcPr>
          <w:p w14:paraId="022DA629" w14:textId="3872A3FA" w:rsidR="00BD3C98" w:rsidRPr="00B72A1A" w:rsidRDefault="002C2569" w:rsidP="002C2569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</w:rPr>
              <w:t>Case studies about privacy are included in IPSO’s training for journalists.</w:t>
            </w:r>
          </w:p>
        </w:tc>
      </w:tr>
      <w:tr w:rsidR="00BD3C98" w:rsidRPr="001D3071" w14:paraId="6B97AAEE" w14:textId="77777777" w:rsidTr="00015EC4">
        <w:trPr>
          <w:trHeight w:val="716"/>
        </w:trPr>
        <w:tc>
          <w:tcPr>
            <w:tcW w:w="1838" w:type="dxa"/>
          </w:tcPr>
          <w:p w14:paraId="40396E77" w14:textId="2D3B335F" w:rsidR="00BD3C98" w:rsidRPr="00B72A1A" w:rsidRDefault="00B04854" w:rsidP="00BD3C98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Accuracy</w:t>
            </w:r>
          </w:p>
        </w:tc>
        <w:tc>
          <w:tcPr>
            <w:tcW w:w="5387" w:type="dxa"/>
          </w:tcPr>
          <w:p w14:paraId="5FFC072B" w14:textId="313DC157" w:rsidR="00BD3C98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Inaccurate reporting of financial results relating to share prices.</w:t>
            </w:r>
          </w:p>
          <w:p w14:paraId="7DB73A5F" w14:textId="77777777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3CD6AD55" w14:textId="41172B16" w:rsidR="00E72FD6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An article about an MP was found to be inaccurate.</w:t>
            </w:r>
          </w:p>
          <w:p w14:paraId="1DFCADA2" w14:textId="77777777" w:rsidR="00E72FD6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21B7696B" w14:textId="3797B5D5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An interview with an actor was written up inaccurately</w:t>
            </w:r>
            <w:r w:rsidR="00E72FD6">
              <w:rPr>
                <w:rFonts w:ascii="Futura Bk BT" w:hAnsi="Futura Bk BT"/>
                <w:szCs w:val="22"/>
              </w:rPr>
              <w:t xml:space="preserve"> resulting in the actor being misquoted</w:t>
            </w:r>
            <w:r>
              <w:rPr>
                <w:rFonts w:ascii="Futura Bk BT" w:hAnsi="Futura Bk BT"/>
                <w:szCs w:val="22"/>
              </w:rPr>
              <w:t>.</w:t>
            </w:r>
          </w:p>
          <w:p w14:paraId="68D73DE0" w14:textId="77777777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20A1512E" w14:textId="56F8F870" w:rsidR="00B04854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Inaccurate report that a schoolchild had been beaten by another pupil and taken to hospital.</w:t>
            </w:r>
          </w:p>
          <w:p w14:paraId="764F9EC6" w14:textId="07106A7D" w:rsidR="00B04854" w:rsidRPr="00B72A1A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  <w:tc>
          <w:tcPr>
            <w:tcW w:w="6520" w:type="dxa"/>
          </w:tcPr>
          <w:p w14:paraId="0E4EA91F" w14:textId="77777777" w:rsidR="00BD3C98" w:rsidRDefault="00E72FD6" w:rsidP="00E0793B">
            <w:pPr>
              <w:tabs>
                <w:tab w:val="left" w:pos="4962"/>
              </w:tabs>
            </w:pPr>
            <w:r>
              <w:t>These issues will be monitored to ensure that there are not consistent failures in such processes.</w:t>
            </w:r>
          </w:p>
          <w:p w14:paraId="6A3B9FC0" w14:textId="77777777" w:rsidR="00E72FD6" w:rsidRDefault="00E72FD6" w:rsidP="00E0793B">
            <w:pPr>
              <w:tabs>
                <w:tab w:val="left" w:pos="4962"/>
              </w:tabs>
            </w:pPr>
          </w:p>
          <w:p w14:paraId="39255D74" w14:textId="77777777" w:rsidR="00E72FD6" w:rsidRDefault="00E72FD6" w:rsidP="00E0793B">
            <w:pPr>
              <w:tabs>
                <w:tab w:val="left" w:pos="4962"/>
              </w:tabs>
            </w:pPr>
          </w:p>
          <w:p w14:paraId="48482A5B" w14:textId="77777777" w:rsidR="00E72FD6" w:rsidRDefault="00E72FD6" w:rsidP="00E0793B">
            <w:pPr>
              <w:tabs>
                <w:tab w:val="left" w:pos="4962"/>
              </w:tabs>
            </w:pPr>
          </w:p>
          <w:p w14:paraId="412340BE" w14:textId="77777777" w:rsidR="00E72FD6" w:rsidRDefault="00E72FD6" w:rsidP="00E0793B">
            <w:pPr>
              <w:tabs>
                <w:tab w:val="left" w:pos="4962"/>
              </w:tabs>
            </w:pPr>
          </w:p>
          <w:p w14:paraId="060ABCCE" w14:textId="77777777" w:rsidR="00E72FD6" w:rsidRDefault="00E72FD6" w:rsidP="00E0793B">
            <w:pPr>
              <w:tabs>
                <w:tab w:val="left" w:pos="4962"/>
              </w:tabs>
            </w:pPr>
          </w:p>
          <w:p w14:paraId="62D7E8F3" w14:textId="77777777" w:rsidR="00E72FD6" w:rsidRDefault="00E72FD6" w:rsidP="00E0793B">
            <w:pPr>
              <w:tabs>
                <w:tab w:val="left" w:pos="4962"/>
              </w:tabs>
            </w:pPr>
          </w:p>
          <w:p w14:paraId="4DCA792E" w14:textId="3D342C70" w:rsidR="00E72FD6" w:rsidRPr="00B72A1A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t>Guidance for journalists and editors on the reporting of children to be published in 2024.</w:t>
            </w:r>
          </w:p>
        </w:tc>
      </w:tr>
      <w:tr w:rsidR="00BD3C98" w:rsidRPr="001D3071" w14:paraId="64914A6A" w14:textId="77777777" w:rsidTr="00015EC4">
        <w:trPr>
          <w:trHeight w:val="701"/>
        </w:trPr>
        <w:tc>
          <w:tcPr>
            <w:tcW w:w="1838" w:type="dxa"/>
          </w:tcPr>
          <w:p w14:paraId="348568C5" w14:textId="410EB5D6" w:rsidR="00BD3C98" w:rsidRPr="00B72A1A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Comment pieces</w:t>
            </w:r>
          </w:p>
        </w:tc>
        <w:tc>
          <w:tcPr>
            <w:tcW w:w="5387" w:type="dxa"/>
          </w:tcPr>
          <w:p w14:paraId="786E6EF9" w14:textId="4E5CD84D" w:rsidR="00BD3C98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Two c</w:t>
            </w:r>
            <w:r w:rsidR="00B04854">
              <w:rPr>
                <w:rFonts w:ascii="Futura Bk BT" w:hAnsi="Futura Bk BT"/>
                <w:szCs w:val="22"/>
              </w:rPr>
              <w:t xml:space="preserve">omment pieces relating </w:t>
            </w:r>
            <w:r>
              <w:rPr>
                <w:rFonts w:ascii="Futura Bk BT" w:hAnsi="Futura Bk BT"/>
                <w:szCs w:val="22"/>
              </w:rPr>
              <w:t>to the coronavirus pandemic contained inaccurate statements which were presented as facts. A further complaint where claims were clearly distinguished as such, was not upheld.</w:t>
            </w:r>
          </w:p>
          <w:p w14:paraId="7D110E3A" w14:textId="5F166F30" w:rsidR="00E72FD6" w:rsidRPr="00B72A1A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  <w:tc>
          <w:tcPr>
            <w:tcW w:w="6520" w:type="dxa"/>
          </w:tcPr>
          <w:p w14:paraId="79E139BE" w14:textId="77777777" w:rsidR="002C2569" w:rsidRDefault="002C2569" w:rsidP="002C2569">
            <w:pPr>
              <w:tabs>
                <w:tab w:val="left" w:pos="4962"/>
              </w:tabs>
            </w:pPr>
            <w:r>
              <w:rPr>
                <w:rFonts w:ascii="Futura Bk BT" w:hAnsi="Futura Bk BT"/>
                <w:szCs w:val="22"/>
              </w:rPr>
              <w:t xml:space="preserve">These issues </w:t>
            </w:r>
            <w:r>
              <w:t>will be monitored to ensure that there are not consistent failures in such processes.</w:t>
            </w:r>
          </w:p>
          <w:p w14:paraId="125BBDE9" w14:textId="50711606" w:rsidR="00BD3C98" w:rsidRPr="00B72A1A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</w:tr>
      <w:tr w:rsidR="00BD3C98" w:rsidRPr="001D3071" w14:paraId="0845731A" w14:textId="77777777" w:rsidTr="00015EC4">
        <w:trPr>
          <w:trHeight w:val="820"/>
        </w:trPr>
        <w:tc>
          <w:tcPr>
            <w:tcW w:w="1838" w:type="dxa"/>
          </w:tcPr>
          <w:p w14:paraId="2CA27A68" w14:textId="6D035487" w:rsidR="00BD3C98" w:rsidRPr="00B72A1A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lastRenderedPageBreak/>
              <w:t>Intrusion into grief or shock</w:t>
            </w:r>
          </w:p>
          <w:p w14:paraId="703EA020" w14:textId="77777777" w:rsidR="00BD3C98" w:rsidRPr="00B72A1A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2D91DC3E" w14:textId="77777777" w:rsidR="00BD3C98" w:rsidRPr="00B72A1A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  <w:tc>
          <w:tcPr>
            <w:tcW w:w="5387" w:type="dxa"/>
          </w:tcPr>
          <w:p w14:paraId="047EACC6" w14:textId="77777777" w:rsidR="00BD3C98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Article inaccurately described a deceased man as a father which was not the case.</w:t>
            </w:r>
          </w:p>
          <w:p w14:paraId="21D2DB8F" w14:textId="77777777" w:rsidR="00B04854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1C71108F" w14:textId="78F1162A" w:rsidR="00E72FD6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Complaints not upheld regarding potentially excessive details in inquest reports about a man’s death.</w:t>
            </w:r>
          </w:p>
          <w:p w14:paraId="4FBB10A9" w14:textId="0B596C62" w:rsidR="00B04854" w:rsidRPr="00B72A1A" w:rsidRDefault="00B04854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  <w:tc>
          <w:tcPr>
            <w:tcW w:w="6520" w:type="dxa"/>
          </w:tcPr>
          <w:p w14:paraId="77946318" w14:textId="273065AF" w:rsidR="00E72FD6" w:rsidRDefault="00E72FD6" w:rsidP="00E72FD6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Revised </w:t>
            </w:r>
            <w:hyperlink r:id="rId5" w:history="1">
              <w:r w:rsidRPr="002C2569">
                <w:rPr>
                  <w:rStyle w:val="Hyperlink"/>
                  <w:rFonts w:ascii="Futura Bk BT" w:hAnsi="Futura Bk BT"/>
                  <w:szCs w:val="22"/>
                  <w:lang w:val="en-US"/>
                </w:rPr>
                <w:t>guidance for journalists on deaths and inquests</w:t>
              </w:r>
            </w:hyperlink>
            <w:r>
              <w:rPr>
                <w:rFonts w:ascii="Futura Bk BT" w:hAnsi="Futura Bk BT"/>
                <w:szCs w:val="22"/>
                <w:lang w:val="en-US"/>
              </w:rPr>
              <w:t xml:space="preserve"> was published in January 2023. </w:t>
            </w:r>
          </w:p>
          <w:p w14:paraId="35DE7135" w14:textId="77777777" w:rsidR="00BD3C9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6F75763A" w14:textId="6E0E273A" w:rsidR="00E72FD6" w:rsidRPr="00B72A1A" w:rsidRDefault="00E72FD6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 xml:space="preserve">Revised </w:t>
            </w:r>
            <w:hyperlink r:id="rId6" w:history="1">
              <w:r w:rsidRPr="002C2569">
                <w:rPr>
                  <w:rStyle w:val="Hyperlink"/>
                  <w:rFonts w:ascii="Futura Bk BT" w:hAnsi="Futura Bk BT"/>
                  <w:szCs w:val="22"/>
                </w:rPr>
                <w:t>guidance for journalists</w:t>
              </w:r>
            </w:hyperlink>
            <w:r>
              <w:rPr>
                <w:rFonts w:ascii="Futura Bk BT" w:hAnsi="Futura Bk BT"/>
                <w:szCs w:val="22"/>
              </w:rPr>
              <w:t xml:space="preserve"> </w:t>
            </w:r>
            <w:r w:rsidR="002C2569">
              <w:rPr>
                <w:rFonts w:ascii="Futura Bk BT" w:hAnsi="Futura Bk BT"/>
                <w:szCs w:val="22"/>
              </w:rPr>
              <w:t xml:space="preserve">and </w:t>
            </w:r>
            <w:hyperlink r:id="rId7" w:history="1">
              <w:r w:rsidR="002C2569" w:rsidRPr="002C2569">
                <w:rPr>
                  <w:rStyle w:val="Hyperlink"/>
                  <w:rFonts w:ascii="Futura Bk BT" w:hAnsi="Futura Bk BT"/>
                  <w:szCs w:val="22"/>
                </w:rPr>
                <w:t>information for the public</w:t>
              </w:r>
            </w:hyperlink>
            <w:r w:rsidR="002C2569">
              <w:rPr>
                <w:rFonts w:ascii="Futura Bk BT" w:hAnsi="Futura Bk BT"/>
                <w:szCs w:val="22"/>
              </w:rPr>
              <w:t xml:space="preserve"> </w:t>
            </w:r>
            <w:r>
              <w:rPr>
                <w:rFonts w:ascii="Futura Bk BT" w:hAnsi="Futura Bk BT"/>
                <w:szCs w:val="22"/>
              </w:rPr>
              <w:t>on the reporting of suicide was published in October 2023.</w:t>
            </w:r>
            <w:r w:rsidR="002C2569">
              <w:rPr>
                <w:rFonts w:ascii="Futura Bk BT" w:hAnsi="Futura Bk BT"/>
                <w:szCs w:val="22"/>
              </w:rPr>
              <w:t xml:space="preserve"> </w:t>
            </w:r>
          </w:p>
        </w:tc>
      </w:tr>
    </w:tbl>
    <w:p w14:paraId="5BF39473" w14:textId="4C5A55C4" w:rsidR="00430BB9" w:rsidRPr="00BD3C98" w:rsidRDefault="00430BB9">
      <w:pPr>
        <w:rPr>
          <w:rFonts w:ascii="Futura Bk BT" w:eastAsiaTheme="majorEastAsia" w:hAnsi="Futura Bk BT" w:cstheme="majorBidi"/>
          <w:color w:val="000000" w:themeColor="text1"/>
          <w:sz w:val="26"/>
          <w:szCs w:val="26"/>
        </w:rPr>
      </w:pPr>
    </w:p>
    <w:sectPr w:rsidR="00430BB9" w:rsidRPr="00BD3C98" w:rsidSect="00BD3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 Book">
    <w:panose1 w:val="020B0502020204020303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98"/>
    <w:rsid w:val="002C2569"/>
    <w:rsid w:val="00355524"/>
    <w:rsid w:val="00430BB9"/>
    <w:rsid w:val="004E1E15"/>
    <w:rsid w:val="008F1033"/>
    <w:rsid w:val="00B04854"/>
    <w:rsid w:val="00B45BF8"/>
    <w:rsid w:val="00BD3C98"/>
    <w:rsid w:val="00CF0E43"/>
    <w:rsid w:val="00E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68E0"/>
  <w15:chartTrackingRefBased/>
  <w15:docId w15:val="{D9790247-4E87-4334-BF24-52133B8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98"/>
    <w:pPr>
      <w:spacing w:after="0" w:line="240" w:lineRule="auto"/>
    </w:pPr>
    <w:rPr>
      <w:rFonts w:ascii="Futura Bk BT Book" w:eastAsiaTheme="minorEastAsia" w:hAnsi="Futura Bk BT Book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">
    <w:name w:val="Heading A"/>
    <w:basedOn w:val="Heading1"/>
    <w:link w:val="HeadingAChar"/>
    <w:qFormat/>
    <w:rsid w:val="00BD3C98"/>
    <w:pPr>
      <w:spacing w:before="0"/>
    </w:pPr>
    <w:rPr>
      <w:rFonts w:ascii="Futura Bk BT" w:hAnsi="Futura Bk BT"/>
      <w:color w:val="000000" w:themeColor="text1"/>
      <w:sz w:val="26"/>
      <w:szCs w:val="26"/>
    </w:rPr>
  </w:style>
  <w:style w:type="character" w:customStyle="1" w:styleId="HeadingAChar">
    <w:name w:val="Heading A Char"/>
    <w:basedOn w:val="Heading1Char"/>
    <w:link w:val="HeadingA"/>
    <w:rsid w:val="00BD3C98"/>
    <w:rPr>
      <w:rFonts w:ascii="Futura Bk BT" w:eastAsiaTheme="majorEastAsia" w:hAnsi="Futura Bk BT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4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pso.co.uk/media/2440/suicide-public-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so.co.uk/media/2441/reporting-suicide-journalist-guidance-2023.pdf" TargetMode="External"/><Relationship Id="rId5" Type="http://schemas.openxmlformats.org/officeDocument/2006/relationships/hyperlink" Target="https://www.ipso.co.uk/media/2296/deaths-and-inquests-guidance.pdf" TargetMode="External"/><Relationship Id="rId4" Type="http://schemas.openxmlformats.org/officeDocument/2006/relationships/hyperlink" Target="https://www.ipso.co.uk/media/2284/ipso-court-reporting-guidanc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Douce</dc:creator>
  <cp:keywords/>
  <dc:description/>
  <cp:lastModifiedBy>Rosemary Douce</cp:lastModifiedBy>
  <cp:revision>2</cp:revision>
  <dcterms:created xsi:type="dcterms:W3CDTF">2023-12-14T16:19:00Z</dcterms:created>
  <dcterms:modified xsi:type="dcterms:W3CDTF">2023-12-14T16:19:00Z</dcterms:modified>
</cp:coreProperties>
</file>