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20F" w:rsidRDefault="00F1592F">
      <w:pPr>
        <w:pStyle w:val="Heading1"/>
        <w:spacing w:before="59"/>
        <w:ind w:left="1501" w:firstLine="0"/>
        <w:rPr>
          <w:b w:val="0"/>
          <w:bCs w:val="0"/>
        </w:rPr>
      </w:pPr>
      <w:bookmarkStart w:id="0" w:name="_GoBack"/>
      <w:bookmarkEnd w:id="0"/>
      <w:r>
        <w:t>INDEPENDENT PRESS STANDARDS ORGANISATION</w:t>
      </w:r>
      <w:r>
        <w:rPr>
          <w:spacing w:val="-19"/>
        </w:rPr>
        <w:t xml:space="preserve"> </w:t>
      </w:r>
      <w:r>
        <w:t>C.I.C.</w:t>
      </w:r>
    </w:p>
    <w:p w:rsidR="0037220F" w:rsidRDefault="0037220F">
      <w:pPr>
        <w:spacing w:before="9"/>
        <w:rPr>
          <w:rFonts w:ascii="Arial" w:eastAsia="Arial" w:hAnsi="Arial" w:cs="Arial"/>
          <w:b/>
          <w:bCs/>
          <w:sz w:val="17"/>
          <w:szCs w:val="17"/>
        </w:rPr>
      </w:pPr>
    </w:p>
    <w:p w:rsidR="0037220F" w:rsidRDefault="0037220F">
      <w:pPr>
        <w:rPr>
          <w:rFonts w:ascii="Arial" w:eastAsia="Arial" w:hAnsi="Arial" w:cs="Arial"/>
          <w:sz w:val="17"/>
          <w:szCs w:val="17"/>
        </w:rPr>
        <w:sectPr w:rsidR="0037220F">
          <w:footerReference w:type="default" r:id="rId7"/>
          <w:type w:val="continuous"/>
          <w:pgSz w:w="11910" w:h="16840"/>
          <w:pgMar w:top="1360" w:right="1320" w:bottom="1180" w:left="1340" w:header="720" w:footer="993" w:gutter="0"/>
          <w:pgNumType w:start="1"/>
          <w:cols w:space="720"/>
        </w:sectPr>
      </w:pPr>
    </w:p>
    <w:p w:rsidR="0037220F" w:rsidRDefault="0037220F">
      <w:pPr>
        <w:rPr>
          <w:rFonts w:ascii="Arial" w:eastAsia="Arial" w:hAnsi="Arial" w:cs="Arial"/>
          <w:b/>
          <w:bCs/>
        </w:rPr>
      </w:pPr>
    </w:p>
    <w:p w:rsidR="0037220F" w:rsidRDefault="0037220F">
      <w:pPr>
        <w:rPr>
          <w:rFonts w:ascii="Arial" w:eastAsia="Arial" w:hAnsi="Arial" w:cs="Arial"/>
          <w:b/>
          <w:bCs/>
          <w:sz w:val="20"/>
          <w:szCs w:val="20"/>
        </w:rPr>
      </w:pPr>
    </w:p>
    <w:p w:rsidR="0037220F" w:rsidRDefault="00F1592F">
      <w:pPr>
        <w:pStyle w:val="ListParagraph"/>
        <w:numPr>
          <w:ilvl w:val="0"/>
          <w:numId w:val="1"/>
        </w:numPr>
        <w:tabs>
          <w:tab w:val="left" w:pos="806"/>
        </w:tabs>
        <w:ind w:hanging="705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Introduction</w:t>
      </w:r>
    </w:p>
    <w:p w:rsidR="0037220F" w:rsidRDefault="00F1592F">
      <w:pPr>
        <w:spacing w:before="72"/>
        <w:ind w:left="100"/>
        <w:rPr>
          <w:rFonts w:ascii="Arial" w:eastAsia="Arial" w:hAnsi="Arial" w:cs="Arial"/>
        </w:rPr>
      </w:pPr>
      <w:r>
        <w:br w:type="column"/>
      </w:r>
      <w:r>
        <w:rPr>
          <w:rFonts w:ascii="Arial"/>
          <w:b/>
        </w:rPr>
        <w:lastRenderedPageBreak/>
        <w:t>FINANCIAL SANCTIONS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</w:rPr>
        <w:t>GUIDANCE</w:t>
      </w:r>
    </w:p>
    <w:p w:rsidR="0037220F" w:rsidRDefault="0037220F">
      <w:pPr>
        <w:rPr>
          <w:rFonts w:ascii="Arial" w:eastAsia="Arial" w:hAnsi="Arial" w:cs="Arial"/>
        </w:rPr>
        <w:sectPr w:rsidR="0037220F">
          <w:type w:val="continuous"/>
          <w:pgSz w:w="11910" w:h="16840"/>
          <w:pgMar w:top="1360" w:right="1320" w:bottom="1180" w:left="1340" w:header="720" w:footer="720" w:gutter="0"/>
          <w:cols w:num="2" w:space="720" w:equalWidth="0">
            <w:col w:w="2090" w:space="533"/>
            <w:col w:w="6627"/>
          </w:cols>
        </w:sectPr>
      </w:pPr>
    </w:p>
    <w:p w:rsidR="0037220F" w:rsidRDefault="0037220F">
      <w:pPr>
        <w:spacing w:before="10"/>
        <w:rPr>
          <w:rFonts w:ascii="Arial" w:eastAsia="Arial" w:hAnsi="Arial" w:cs="Arial"/>
          <w:b/>
          <w:bCs/>
          <w:sz w:val="14"/>
          <w:szCs w:val="14"/>
        </w:rPr>
      </w:pPr>
    </w:p>
    <w:p w:rsidR="0037220F" w:rsidRDefault="00F1592F">
      <w:pPr>
        <w:pStyle w:val="ListParagraph"/>
        <w:numPr>
          <w:ilvl w:val="1"/>
          <w:numId w:val="1"/>
        </w:numPr>
        <w:tabs>
          <w:tab w:val="left" w:pos="808"/>
        </w:tabs>
        <w:spacing w:before="72"/>
        <w:ind w:right="117"/>
        <w:jc w:val="both"/>
        <w:rPr>
          <w:rFonts w:ascii="Arial" w:eastAsia="Arial" w:hAnsi="Arial" w:cs="Arial"/>
        </w:rPr>
      </w:pPr>
      <w:r>
        <w:rPr>
          <w:rFonts w:ascii="Arial"/>
        </w:rPr>
        <w:t>Where the Regulator'</w:t>
      </w:r>
      <w:r>
        <w:rPr>
          <w:rFonts w:ascii="Arial"/>
        </w:rPr>
        <w:t>s Board has the power to impose a sanction on a</w:t>
      </w:r>
      <w:r>
        <w:rPr>
          <w:rFonts w:ascii="Arial"/>
          <w:spacing w:val="11"/>
        </w:rPr>
        <w:t xml:space="preserve"> </w:t>
      </w:r>
      <w:r>
        <w:rPr>
          <w:rFonts w:ascii="Arial"/>
        </w:rPr>
        <w:t>Regulated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Entity,</w:t>
      </w:r>
      <w:r>
        <w:rPr>
          <w:rFonts w:ascii="Arial"/>
          <w:spacing w:val="46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47"/>
        </w:rPr>
        <w:t xml:space="preserve"> </w:t>
      </w:r>
      <w:r>
        <w:rPr>
          <w:rFonts w:ascii="Arial"/>
        </w:rPr>
        <w:t>Regulator's</w:t>
      </w:r>
      <w:r>
        <w:rPr>
          <w:rFonts w:ascii="Arial"/>
          <w:spacing w:val="44"/>
        </w:rPr>
        <w:t xml:space="preserve"> </w:t>
      </w:r>
      <w:r>
        <w:rPr>
          <w:rFonts w:ascii="Arial"/>
        </w:rPr>
        <w:t>Board</w:t>
      </w:r>
      <w:r>
        <w:rPr>
          <w:rFonts w:ascii="Arial"/>
          <w:spacing w:val="46"/>
        </w:rPr>
        <w:t xml:space="preserve"> </w:t>
      </w:r>
      <w:r>
        <w:rPr>
          <w:rFonts w:ascii="Arial"/>
        </w:rPr>
        <w:t>has</w:t>
      </w:r>
      <w:r>
        <w:rPr>
          <w:rFonts w:ascii="Arial"/>
          <w:spacing w:val="46"/>
        </w:rPr>
        <w:t xml:space="preserve"> </w:t>
      </w:r>
      <w:r>
        <w:rPr>
          <w:rFonts w:ascii="Arial"/>
        </w:rPr>
        <w:t>discretion</w:t>
      </w:r>
      <w:r>
        <w:rPr>
          <w:rFonts w:ascii="Arial"/>
          <w:spacing w:val="46"/>
        </w:rPr>
        <w:t xml:space="preserve"> </w:t>
      </w:r>
      <w:r>
        <w:rPr>
          <w:rFonts w:ascii="Arial"/>
        </w:rPr>
        <w:t>on</w:t>
      </w:r>
      <w:r>
        <w:rPr>
          <w:rFonts w:ascii="Arial"/>
          <w:spacing w:val="45"/>
        </w:rPr>
        <w:t xml:space="preserve"> </w:t>
      </w:r>
      <w:r>
        <w:rPr>
          <w:rFonts w:ascii="Arial"/>
        </w:rPr>
        <w:t>whether</w:t>
      </w:r>
      <w:r>
        <w:rPr>
          <w:rFonts w:ascii="Arial"/>
          <w:spacing w:val="46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47"/>
        </w:rPr>
        <w:t xml:space="preserve"> </w:t>
      </w:r>
      <w:r>
        <w:rPr>
          <w:rFonts w:ascii="Arial"/>
        </w:rPr>
        <w:t>impose</w:t>
      </w:r>
      <w:r>
        <w:rPr>
          <w:rFonts w:ascii="Arial"/>
          <w:spacing w:val="46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41"/>
        </w:rPr>
        <w:t xml:space="preserve"> </w:t>
      </w:r>
      <w:r>
        <w:rPr>
          <w:rFonts w:ascii="Arial"/>
        </w:rPr>
        <w:t>fine</w:t>
      </w:r>
      <w:r>
        <w:rPr>
          <w:rFonts w:ascii="Arial"/>
          <w:spacing w:val="47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46"/>
        </w:rPr>
        <w:t xml:space="preserve"> </w:t>
      </w:r>
      <w:r>
        <w:rPr>
          <w:rFonts w:ascii="Arial"/>
        </w:rPr>
        <w:t>its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amount.</w:t>
      </w:r>
    </w:p>
    <w:p w:rsidR="0037220F" w:rsidRDefault="0037220F">
      <w:pPr>
        <w:spacing w:before="9"/>
        <w:rPr>
          <w:rFonts w:ascii="Arial" w:eastAsia="Arial" w:hAnsi="Arial" w:cs="Arial"/>
          <w:sz w:val="20"/>
          <w:szCs w:val="20"/>
        </w:rPr>
      </w:pPr>
    </w:p>
    <w:p w:rsidR="0037220F" w:rsidRDefault="00F1592F">
      <w:pPr>
        <w:pStyle w:val="ListParagraph"/>
        <w:numPr>
          <w:ilvl w:val="1"/>
          <w:numId w:val="1"/>
        </w:numPr>
        <w:tabs>
          <w:tab w:val="left" w:pos="808"/>
        </w:tabs>
        <w:ind w:right="117"/>
        <w:jc w:val="both"/>
        <w:rPr>
          <w:rFonts w:ascii="Arial" w:eastAsia="Arial" w:hAnsi="Arial" w:cs="Arial"/>
        </w:rPr>
      </w:pPr>
      <w:r>
        <w:rPr>
          <w:rFonts w:ascii="Arial"/>
        </w:rPr>
        <w:t>The Regulator's Board will only impose fines where the Regulated Entity's conduct</w:t>
      </w:r>
      <w:r>
        <w:rPr>
          <w:rFonts w:ascii="Arial"/>
          <w:spacing w:val="56"/>
        </w:rPr>
        <w:t xml:space="preserve"> </w:t>
      </w:r>
      <w:r>
        <w:rPr>
          <w:rFonts w:ascii="Arial"/>
        </w:rPr>
        <w:t>is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sufficiently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serious.</w:t>
      </w:r>
    </w:p>
    <w:p w:rsidR="0037220F" w:rsidRDefault="0037220F">
      <w:pPr>
        <w:spacing w:before="11"/>
        <w:rPr>
          <w:rFonts w:ascii="Arial" w:eastAsia="Arial" w:hAnsi="Arial" w:cs="Arial"/>
          <w:sz w:val="20"/>
          <w:szCs w:val="20"/>
        </w:rPr>
      </w:pPr>
    </w:p>
    <w:p w:rsidR="0037220F" w:rsidRDefault="00F1592F">
      <w:pPr>
        <w:pStyle w:val="ListParagraph"/>
        <w:numPr>
          <w:ilvl w:val="1"/>
          <w:numId w:val="1"/>
        </w:numPr>
        <w:tabs>
          <w:tab w:val="left" w:pos="808"/>
        </w:tabs>
        <w:ind w:right="117"/>
        <w:jc w:val="both"/>
        <w:rPr>
          <w:rFonts w:ascii="Arial" w:eastAsia="Arial" w:hAnsi="Arial" w:cs="Arial"/>
        </w:rPr>
      </w:pPr>
      <w:r>
        <w:rPr>
          <w:rFonts w:ascii="Arial"/>
        </w:rPr>
        <w:t>The following guidance is designed to assist the Regulator's Board in</w:t>
      </w:r>
      <w:r>
        <w:rPr>
          <w:rFonts w:ascii="Arial"/>
          <w:spacing w:val="8"/>
        </w:rPr>
        <w:t xml:space="preserve"> </w:t>
      </w:r>
      <w:r>
        <w:rPr>
          <w:rFonts w:ascii="Arial"/>
        </w:rPr>
        <w:t>acting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effectively and proportionately when exercising its discretion to impose</w:t>
      </w:r>
      <w:r>
        <w:rPr>
          <w:rFonts w:ascii="Arial"/>
          <w:spacing w:val="58"/>
        </w:rPr>
        <w:t xml:space="preserve"> </w:t>
      </w:r>
      <w:r>
        <w:rPr>
          <w:rFonts w:ascii="Arial"/>
        </w:rPr>
        <w:t>financial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sanctions.</w:t>
      </w:r>
    </w:p>
    <w:p w:rsidR="0037220F" w:rsidRDefault="0037220F">
      <w:pPr>
        <w:spacing w:before="7"/>
        <w:rPr>
          <w:rFonts w:ascii="Arial" w:eastAsia="Arial" w:hAnsi="Arial" w:cs="Arial"/>
          <w:sz w:val="20"/>
          <w:szCs w:val="20"/>
        </w:rPr>
      </w:pPr>
    </w:p>
    <w:p w:rsidR="0037220F" w:rsidRDefault="00F1592F">
      <w:pPr>
        <w:pStyle w:val="Heading1"/>
        <w:numPr>
          <w:ilvl w:val="0"/>
          <w:numId w:val="1"/>
        </w:numPr>
        <w:tabs>
          <w:tab w:val="left" w:pos="806"/>
        </w:tabs>
        <w:ind w:hanging="705"/>
        <w:rPr>
          <w:b w:val="0"/>
          <w:bCs w:val="0"/>
        </w:rPr>
      </w:pPr>
      <w:r>
        <w:t>Guidance</w:t>
      </w:r>
    </w:p>
    <w:p w:rsidR="0037220F" w:rsidRDefault="0037220F">
      <w:pPr>
        <w:spacing w:before="2"/>
        <w:rPr>
          <w:rFonts w:ascii="Arial" w:eastAsia="Arial" w:hAnsi="Arial" w:cs="Arial"/>
          <w:b/>
          <w:bCs/>
          <w:sz w:val="21"/>
          <w:szCs w:val="21"/>
        </w:rPr>
      </w:pPr>
    </w:p>
    <w:p w:rsidR="0037220F" w:rsidRDefault="00F1592F">
      <w:pPr>
        <w:pStyle w:val="ListParagraph"/>
        <w:numPr>
          <w:ilvl w:val="1"/>
          <w:numId w:val="1"/>
        </w:numPr>
        <w:tabs>
          <w:tab w:val="left" w:pos="808"/>
        </w:tabs>
        <w:ind w:right="114"/>
        <w:jc w:val="both"/>
        <w:rPr>
          <w:rFonts w:ascii="Arial" w:eastAsia="Arial" w:hAnsi="Arial" w:cs="Arial"/>
        </w:rPr>
      </w:pPr>
      <w:r>
        <w:rPr>
          <w:rFonts w:ascii="Arial"/>
        </w:rPr>
        <w:t>Subject to paragraph 2.2 below, the Regulator'</w:t>
      </w:r>
      <w:r>
        <w:rPr>
          <w:rFonts w:ascii="Arial"/>
        </w:rPr>
        <w:t>s Board shall have the power to fine</w:t>
      </w:r>
      <w:r>
        <w:rPr>
          <w:rFonts w:ascii="Arial"/>
          <w:spacing w:val="16"/>
        </w:rPr>
        <w:t xml:space="preserve"> </w:t>
      </w:r>
      <w:r>
        <w:rPr>
          <w:rFonts w:ascii="Arial"/>
        </w:rPr>
        <w:t>a</w:t>
      </w:r>
      <w:r>
        <w:rPr>
          <w:rFonts w:ascii="Arial"/>
        </w:rPr>
        <w:t xml:space="preserve"> </w:t>
      </w:r>
      <w:r>
        <w:rPr>
          <w:rFonts w:ascii="Arial"/>
        </w:rPr>
        <w:t>Regulated Entity up to 1% of its UK annual turnover relating to the</w:t>
      </w:r>
      <w:r>
        <w:rPr>
          <w:rFonts w:ascii="Arial"/>
          <w:spacing w:val="41"/>
        </w:rPr>
        <w:t xml:space="preserve"> </w:t>
      </w:r>
      <w:r>
        <w:rPr>
          <w:rFonts w:ascii="Arial"/>
        </w:rPr>
        <w:t>Publication(s)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(both print and electronic) which is/are, following a Standards Investigation, found</w:t>
      </w:r>
      <w:r>
        <w:rPr>
          <w:rFonts w:ascii="Arial"/>
          <w:spacing w:val="58"/>
        </w:rPr>
        <w:t xml:space="preserve"> </w:t>
      </w:r>
      <w:r>
        <w:rPr>
          <w:rFonts w:ascii="Arial"/>
        </w:rPr>
        <w:t>to</w:t>
      </w:r>
      <w:r>
        <w:rPr>
          <w:rFonts w:ascii="Arial"/>
        </w:rPr>
        <w:t xml:space="preserve"> </w:t>
      </w:r>
      <w:r>
        <w:rPr>
          <w:rFonts w:ascii="Arial"/>
        </w:rPr>
        <w:t xml:space="preserve">have committed a Systemic Failure (as defined </w:t>
      </w:r>
      <w:r>
        <w:rPr>
          <w:rFonts w:ascii="Arial"/>
        </w:rPr>
        <w:t>in the</w:t>
      </w:r>
      <w:r>
        <w:rPr>
          <w:rFonts w:ascii="Arial"/>
          <w:spacing w:val="-13"/>
        </w:rPr>
        <w:t xml:space="preserve"> </w:t>
      </w:r>
      <w:r>
        <w:rPr>
          <w:rFonts w:ascii="Arial"/>
        </w:rPr>
        <w:t>Regulations).</w:t>
      </w:r>
    </w:p>
    <w:p w:rsidR="0037220F" w:rsidRDefault="0037220F">
      <w:pPr>
        <w:spacing w:before="9"/>
        <w:rPr>
          <w:rFonts w:ascii="Arial" w:eastAsia="Arial" w:hAnsi="Arial" w:cs="Arial"/>
          <w:sz w:val="20"/>
          <w:szCs w:val="20"/>
        </w:rPr>
      </w:pPr>
    </w:p>
    <w:p w:rsidR="0037220F" w:rsidRDefault="00F1592F">
      <w:pPr>
        <w:pStyle w:val="ListParagraph"/>
        <w:numPr>
          <w:ilvl w:val="1"/>
          <w:numId w:val="1"/>
        </w:numPr>
        <w:tabs>
          <w:tab w:val="left" w:pos="808"/>
        </w:tabs>
        <w:ind w:right="117"/>
        <w:jc w:val="both"/>
        <w:rPr>
          <w:rFonts w:ascii="Arial" w:eastAsia="Arial" w:hAnsi="Arial" w:cs="Arial"/>
        </w:rPr>
      </w:pPr>
      <w:r>
        <w:rPr>
          <w:rFonts w:ascii="Arial" w:hAnsi="Arial"/>
        </w:rPr>
        <w:t>The</w:t>
      </w:r>
      <w:r>
        <w:rPr>
          <w:rFonts w:ascii="Arial" w:hAnsi="Arial"/>
          <w:spacing w:val="16"/>
        </w:rPr>
        <w:t xml:space="preserve"> </w:t>
      </w:r>
      <w:r>
        <w:rPr>
          <w:rFonts w:ascii="Arial" w:hAnsi="Arial"/>
        </w:rPr>
        <w:t>maximum</w:t>
      </w:r>
      <w:r>
        <w:rPr>
          <w:rFonts w:ascii="Arial" w:hAnsi="Arial"/>
          <w:spacing w:val="15"/>
        </w:rPr>
        <w:t xml:space="preserve"> </w:t>
      </w:r>
      <w:r>
        <w:rPr>
          <w:rFonts w:ascii="Arial" w:hAnsi="Arial"/>
        </w:rPr>
        <w:t>fine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</w:rPr>
        <w:t>which</w:t>
      </w:r>
      <w:r>
        <w:rPr>
          <w:rFonts w:ascii="Arial" w:hAnsi="Arial"/>
          <w:spacing w:val="17"/>
        </w:rPr>
        <w:t xml:space="preserve"> </w:t>
      </w:r>
      <w:r>
        <w:rPr>
          <w:rFonts w:ascii="Arial" w:hAnsi="Arial"/>
        </w:rPr>
        <w:t>the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</w:rPr>
        <w:t>Regulator's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</w:rPr>
        <w:t>Board</w:t>
      </w:r>
      <w:r>
        <w:rPr>
          <w:rFonts w:ascii="Arial" w:hAnsi="Arial"/>
          <w:spacing w:val="15"/>
        </w:rPr>
        <w:t xml:space="preserve"> </w:t>
      </w:r>
      <w:r>
        <w:rPr>
          <w:rFonts w:ascii="Arial" w:hAnsi="Arial"/>
        </w:rPr>
        <w:t>may</w:t>
      </w:r>
      <w:r>
        <w:rPr>
          <w:rFonts w:ascii="Arial" w:hAnsi="Arial"/>
          <w:spacing w:val="17"/>
        </w:rPr>
        <w:t xml:space="preserve"> </w:t>
      </w:r>
      <w:r>
        <w:rPr>
          <w:rFonts w:ascii="Arial" w:hAnsi="Arial"/>
        </w:rPr>
        <w:t>impose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</w:rPr>
        <w:t>on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</w:rPr>
        <w:t>any</w:t>
      </w:r>
      <w:r>
        <w:rPr>
          <w:rFonts w:ascii="Arial" w:hAnsi="Arial"/>
          <w:spacing w:val="17"/>
        </w:rPr>
        <w:t xml:space="preserve"> </w:t>
      </w:r>
      <w:r>
        <w:rPr>
          <w:rFonts w:ascii="Arial" w:hAnsi="Arial"/>
        </w:rPr>
        <w:t>one</w:t>
      </w:r>
      <w:r>
        <w:rPr>
          <w:rFonts w:ascii="Arial" w:hAnsi="Arial"/>
          <w:spacing w:val="18"/>
        </w:rPr>
        <w:t xml:space="preserve"> </w:t>
      </w:r>
      <w:r>
        <w:rPr>
          <w:rFonts w:ascii="Arial" w:hAnsi="Arial"/>
        </w:rPr>
        <w:t>Regulated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Entity shall be £1,000,000 in respect of each Standards</w:t>
      </w:r>
      <w:r>
        <w:rPr>
          <w:rFonts w:ascii="Arial" w:hAnsi="Arial"/>
          <w:spacing w:val="-17"/>
        </w:rPr>
        <w:t xml:space="preserve"> </w:t>
      </w:r>
      <w:r>
        <w:rPr>
          <w:rFonts w:ascii="Arial" w:hAnsi="Arial"/>
        </w:rPr>
        <w:t>Investigation.</w:t>
      </w:r>
    </w:p>
    <w:p w:rsidR="0037220F" w:rsidRDefault="0037220F">
      <w:pPr>
        <w:spacing w:before="9"/>
        <w:rPr>
          <w:rFonts w:ascii="Arial" w:eastAsia="Arial" w:hAnsi="Arial" w:cs="Arial"/>
          <w:sz w:val="20"/>
          <w:szCs w:val="20"/>
        </w:rPr>
      </w:pPr>
    </w:p>
    <w:p w:rsidR="0037220F" w:rsidRDefault="00F1592F">
      <w:pPr>
        <w:pStyle w:val="ListParagraph"/>
        <w:numPr>
          <w:ilvl w:val="1"/>
          <w:numId w:val="1"/>
        </w:numPr>
        <w:tabs>
          <w:tab w:val="left" w:pos="808"/>
        </w:tabs>
        <w:ind w:right="117"/>
        <w:jc w:val="both"/>
        <w:rPr>
          <w:rFonts w:ascii="Arial" w:eastAsia="Arial" w:hAnsi="Arial" w:cs="Arial"/>
        </w:rPr>
      </w:pPr>
      <w:r>
        <w:rPr>
          <w:rFonts w:ascii="Arial"/>
        </w:rPr>
        <w:t>In determining the level of the fine or costs to be imposed on a Regulated Entity,</w:t>
      </w:r>
      <w:r>
        <w:rPr>
          <w:rFonts w:ascii="Arial"/>
          <w:spacing w:val="44"/>
        </w:rPr>
        <w:t xml:space="preserve"> </w:t>
      </w:r>
      <w:r>
        <w:rPr>
          <w:rFonts w:ascii="Arial"/>
        </w:rPr>
        <w:t>the</w:t>
      </w:r>
      <w:r>
        <w:rPr>
          <w:rFonts w:ascii="Arial"/>
        </w:rPr>
        <w:t xml:space="preserve"> </w:t>
      </w:r>
      <w:r>
        <w:rPr>
          <w:rFonts w:ascii="Arial"/>
        </w:rPr>
        <w:t>Regulator's Board shall take into account the following</w:t>
      </w:r>
      <w:r>
        <w:rPr>
          <w:rFonts w:ascii="Arial"/>
          <w:spacing w:val="-14"/>
        </w:rPr>
        <w:t xml:space="preserve"> </w:t>
      </w:r>
      <w:r>
        <w:rPr>
          <w:rFonts w:ascii="Arial"/>
        </w:rPr>
        <w:t>factors:</w:t>
      </w:r>
    </w:p>
    <w:p w:rsidR="0037220F" w:rsidRDefault="0037220F">
      <w:pPr>
        <w:spacing w:before="11"/>
        <w:rPr>
          <w:rFonts w:ascii="Arial" w:eastAsia="Arial" w:hAnsi="Arial" w:cs="Arial"/>
          <w:sz w:val="20"/>
          <w:szCs w:val="20"/>
        </w:rPr>
      </w:pPr>
    </w:p>
    <w:p w:rsidR="0037220F" w:rsidRDefault="00F1592F">
      <w:pPr>
        <w:pStyle w:val="ListParagraph"/>
        <w:numPr>
          <w:ilvl w:val="2"/>
          <w:numId w:val="1"/>
        </w:numPr>
        <w:tabs>
          <w:tab w:val="left" w:pos="1519"/>
        </w:tabs>
        <w:ind w:right="116" w:hanging="710"/>
        <w:jc w:val="both"/>
        <w:rPr>
          <w:rFonts w:ascii="Arial" w:eastAsia="Arial" w:hAnsi="Arial" w:cs="Arial"/>
        </w:rPr>
      </w:pPr>
      <w:r>
        <w:rPr>
          <w:rFonts w:ascii="Arial"/>
        </w:rPr>
        <w:t>the nature of the Regulated Entity including its size, the number of</w:t>
      </w:r>
      <w:r>
        <w:rPr>
          <w:rFonts w:ascii="Arial"/>
          <w:spacing w:val="10"/>
        </w:rPr>
        <w:t xml:space="preserve"> </w:t>
      </w:r>
      <w:r>
        <w:rPr>
          <w:rFonts w:ascii="Arial"/>
        </w:rPr>
        <w:t>staff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employed, number of Publications, circulation figures of the Publication(s)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annual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turnover;</w:t>
      </w:r>
    </w:p>
    <w:p w:rsidR="0037220F" w:rsidRDefault="0037220F">
      <w:pPr>
        <w:spacing w:before="9"/>
        <w:rPr>
          <w:rFonts w:ascii="Arial" w:eastAsia="Arial" w:hAnsi="Arial" w:cs="Arial"/>
          <w:sz w:val="20"/>
          <w:szCs w:val="20"/>
        </w:rPr>
      </w:pPr>
    </w:p>
    <w:p w:rsidR="0037220F" w:rsidRDefault="00F1592F">
      <w:pPr>
        <w:pStyle w:val="ListParagraph"/>
        <w:numPr>
          <w:ilvl w:val="2"/>
          <w:numId w:val="1"/>
        </w:numPr>
        <w:tabs>
          <w:tab w:val="left" w:pos="1519"/>
        </w:tabs>
        <w:ind w:hanging="710"/>
        <w:rPr>
          <w:rFonts w:ascii="Arial" w:eastAsia="Arial" w:hAnsi="Arial" w:cs="Arial"/>
        </w:rPr>
      </w:pPr>
      <w:r>
        <w:rPr>
          <w:rFonts w:ascii="Arial"/>
        </w:rPr>
        <w:t>the nature of the Regulated Entity's conduct and its</w:t>
      </w:r>
      <w:r>
        <w:rPr>
          <w:rFonts w:ascii="Arial"/>
          <w:spacing w:val="-12"/>
        </w:rPr>
        <w:t xml:space="preserve"> </w:t>
      </w:r>
      <w:r>
        <w:rPr>
          <w:rFonts w:ascii="Arial"/>
        </w:rPr>
        <w:t>impact;</w:t>
      </w:r>
    </w:p>
    <w:p w:rsidR="0037220F" w:rsidRDefault="0037220F">
      <w:pPr>
        <w:spacing w:before="9"/>
        <w:rPr>
          <w:rFonts w:ascii="Arial" w:eastAsia="Arial" w:hAnsi="Arial" w:cs="Arial"/>
          <w:sz w:val="20"/>
          <w:szCs w:val="20"/>
        </w:rPr>
      </w:pPr>
    </w:p>
    <w:p w:rsidR="0037220F" w:rsidRDefault="00F1592F">
      <w:pPr>
        <w:pStyle w:val="ListParagraph"/>
        <w:numPr>
          <w:ilvl w:val="2"/>
          <w:numId w:val="1"/>
        </w:numPr>
        <w:tabs>
          <w:tab w:val="left" w:pos="1519"/>
        </w:tabs>
        <w:ind w:right="117" w:hanging="710"/>
        <w:rPr>
          <w:rFonts w:ascii="Arial" w:eastAsia="Arial" w:hAnsi="Arial" w:cs="Arial"/>
        </w:rPr>
      </w:pPr>
      <w:r>
        <w:rPr>
          <w:rFonts w:ascii="Arial"/>
        </w:rPr>
        <w:t>whether the Regulated Entity's conduct was inadvertent or repeated</w:t>
      </w:r>
      <w:r>
        <w:rPr>
          <w:rFonts w:ascii="Arial"/>
          <w:spacing w:val="49"/>
        </w:rPr>
        <w:t xml:space="preserve"> </w:t>
      </w:r>
      <w:r>
        <w:rPr>
          <w:rFonts w:ascii="Arial"/>
        </w:rPr>
        <w:t>or</w:t>
      </w:r>
      <w:r>
        <w:rPr>
          <w:rFonts w:ascii="Arial"/>
        </w:rPr>
        <w:t xml:space="preserve"> </w:t>
      </w:r>
      <w:r>
        <w:rPr>
          <w:rFonts w:ascii="Arial"/>
        </w:rPr>
        <w:t>deliberate or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reckless;</w:t>
      </w:r>
    </w:p>
    <w:p w:rsidR="0037220F" w:rsidRDefault="0037220F">
      <w:pPr>
        <w:spacing w:before="9"/>
        <w:rPr>
          <w:rFonts w:ascii="Arial" w:eastAsia="Arial" w:hAnsi="Arial" w:cs="Arial"/>
          <w:sz w:val="20"/>
          <w:szCs w:val="20"/>
        </w:rPr>
      </w:pPr>
    </w:p>
    <w:p w:rsidR="0037220F" w:rsidRDefault="00F1592F">
      <w:pPr>
        <w:pStyle w:val="ListParagraph"/>
        <w:numPr>
          <w:ilvl w:val="2"/>
          <w:numId w:val="1"/>
        </w:numPr>
        <w:tabs>
          <w:tab w:val="left" w:pos="1519"/>
        </w:tabs>
        <w:ind w:right="117" w:hanging="710"/>
        <w:rPr>
          <w:rFonts w:ascii="Arial" w:eastAsia="Arial" w:hAnsi="Arial" w:cs="Arial"/>
        </w:rPr>
      </w:pPr>
      <w:r>
        <w:rPr>
          <w:rFonts w:ascii="Arial"/>
        </w:rPr>
        <w:t>any aggravating or mitigating factors relating to the Regulated Entity's</w:t>
      </w:r>
      <w:r>
        <w:rPr>
          <w:rFonts w:ascii="Arial"/>
          <w:spacing w:val="-40"/>
        </w:rPr>
        <w:t xml:space="preserve"> </w:t>
      </w:r>
      <w:r>
        <w:rPr>
          <w:rFonts w:ascii="Arial"/>
        </w:rPr>
        <w:t>conduct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(see paragraph 2.4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below);</w:t>
      </w:r>
    </w:p>
    <w:p w:rsidR="0037220F" w:rsidRDefault="0037220F">
      <w:pPr>
        <w:spacing w:before="9"/>
        <w:rPr>
          <w:rFonts w:ascii="Arial" w:eastAsia="Arial" w:hAnsi="Arial" w:cs="Arial"/>
          <w:sz w:val="20"/>
          <w:szCs w:val="20"/>
        </w:rPr>
      </w:pPr>
    </w:p>
    <w:p w:rsidR="0037220F" w:rsidRDefault="00F1592F">
      <w:pPr>
        <w:pStyle w:val="ListParagraph"/>
        <w:numPr>
          <w:ilvl w:val="2"/>
          <w:numId w:val="1"/>
        </w:numPr>
        <w:tabs>
          <w:tab w:val="left" w:pos="1519"/>
        </w:tabs>
        <w:ind w:hanging="710"/>
        <w:rPr>
          <w:rFonts w:ascii="Arial" w:eastAsia="Arial" w:hAnsi="Arial" w:cs="Arial"/>
        </w:rPr>
      </w:pPr>
      <w:r>
        <w:rPr>
          <w:rFonts w:ascii="Arial"/>
        </w:rPr>
        <w:t>any adjustments for deterrence, if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appropriate;</w:t>
      </w:r>
    </w:p>
    <w:p w:rsidR="0037220F" w:rsidRDefault="0037220F">
      <w:pPr>
        <w:spacing w:before="9"/>
        <w:rPr>
          <w:rFonts w:ascii="Arial" w:eastAsia="Arial" w:hAnsi="Arial" w:cs="Arial"/>
          <w:sz w:val="20"/>
          <w:szCs w:val="20"/>
        </w:rPr>
      </w:pPr>
    </w:p>
    <w:p w:rsidR="0037220F" w:rsidRDefault="00F1592F">
      <w:pPr>
        <w:pStyle w:val="ListParagraph"/>
        <w:numPr>
          <w:ilvl w:val="2"/>
          <w:numId w:val="1"/>
        </w:numPr>
        <w:tabs>
          <w:tab w:val="left" w:pos="1519"/>
        </w:tabs>
        <w:ind w:hanging="710"/>
        <w:rPr>
          <w:rFonts w:ascii="Arial" w:eastAsia="Arial" w:hAnsi="Arial" w:cs="Arial"/>
        </w:rPr>
      </w:pPr>
      <w:r>
        <w:rPr>
          <w:rFonts w:ascii="Arial"/>
        </w:rPr>
        <w:t>any discounts for early settlement, if appropriate;</w:t>
      </w:r>
      <w:r>
        <w:rPr>
          <w:rFonts w:ascii="Arial"/>
          <w:spacing w:val="-11"/>
        </w:rPr>
        <w:t xml:space="preserve"> </w:t>
      </w:r>
      <w:r>
        <w:rPr>
          <w:rFonts w:ascii="Arial"/>
        </w:rPr>
        <w:t>and</w:t>
      </w:r>
    </w:p>
    <w:p w:rsidR="0037220F" w:rsidRDefault="0037220F">
      <w:pPr>
        <w:spacing w:before="11"/>
        <w:rPr>
          <w:rFonts w:ascii="Arial" w:eastAsia="Arial" w:hAnsi="Arial" w:cs="Arial"/>
          <w:sz w:val="20"/>
          <w:szCs w:val="20"/>
        </w:rPr>
      </w:pPr>
    </w:p>
    <w:p w:rsidR="0037220F" w:rsidRDefault="00F1592F">
      <w:pPr>
        <w:pStyle w:val="ListParagraph"/>
        <w:numPr>
          <w:ilvl w:val="2"/>
          <w:numId w:val="1"/>
        </w:numPr>
        <w:tabs>
          <w:tab w:val="left" w:pos="1519"/>
        </w:tabs>
        <w:ind w:right="117" w:hanging="710"/>
        <w:rPr>
          <w:rFonts w:ascii="Arial" w:eastAsia="Arial" w:hAnsi="Arial" w:cs="Arial"/>
        </w:rPr>
      </w:pPr>
      <w:r>
        <w:rPr>
          <w:rFonts w:ascii="Arial"/>
        </w:rPr>
        <w:t>any</w:t>
      </w:r>
      <w:r>
        <w:rPr>
          <w:rFonts w:ascii="Arial"/>
          <w:spacing w:val="50"/>
        </w:rPr>
        <w:t xml:space="preserve"> </w:t>
      </w:r>
      <w:r>
        <w:rPr>
          <w:rFonts w:ascii="Arial"/>
        </w:rPr>
        <w:t>other</w:t>
      </w:r>
      <w:r>
        <w:rPr>
          <w:rFonts w:ascii="Arial"/>
          <w:spacing w:val="52"/>
        </w:rPr>
        <w:t xml:space="preserve"> </w:t>
      </w:r>
      <w:r>
        <w:rPr>
          <w:rFonts w:ascii="Arial"/>
        </w:rPr>
        <w:t>financial</w:t>
      </w:r>
      <w:r>
        <w:rPr>
          <w:rFonts w:ascii="Arial"/>
          <w:spacing w:val="51"/>
        </w:rPr>
        <w:t xml:space="preserve"> </w:t>
      </w:r>
      <w:r>
        <w:rPr>
          <w:rFonts w:ascii="Arial"/>
        </w:rPr>
        <w:t>penalties</w:t>
      </w:r>
      <w:r>
        <w:rPr>
          <w:rFonts w:ascii="Arial"/>
          <w:spacing w:val="52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52"/>
        </w:rPr>
        <w:t xml:space="preserve"> </w:t>
      </w:r>
      <w:r>
        <w:rPr>
          <w:rFonts w:ascii="Arial"/>
        </w:rPr>
        <w:t>other</w:t>
      </w:r>
      <w:r>
        <w:rPr>
          <w:rFonts w:ascii="Arial"/>
          <w:spacing w:val="52"/>
        </w:rPr>
        <w:t xml:space="preserve"> </w:t>
      </w:r>
      <w:r>
        <w:rPr>
          <w:rFonts w:ascii="Arial"/>
        </w:rPr>
        <w:t>sanction</w:t>
      </w:r>
      <w:r>
        <w:rPr>
          <w:rFonts w:ascii="Arial"/>
          <w:spacing w:val="49"/>
        </w:rPr>
        <w:t xml:space="preserve"> </w:t>
      </w:r>
      <w:r>
        <w:rPr>
          <w:rFonts w:ascii="Arial"/>
        </w:rPr>
        <w:t>imposed</w:t>
      </w:r>
      <w:r>
        <w:rPr>
          <w:rFonts w:ascii="Arial"/>
          <w:spacing w:val="51"/>
        </w:rPr>
        <w:t xml:space="preserve"> </w:t>
      </w:r>
      <w:r>
        <w:rPr>
          <w:rFonts w:ascii="Arial"/>
        </w:rPr>
        <w:t>on</w:t>
      </w:r>
      <w:r>
        <w:rPr>
          <w:rFonts w:ascii="Arial"/>
          <w:spacing w:val="51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52"/>
        </w:rPr>
        <w:t xml:space="preserve"> </w:t>
      </w:r>
      <w:r>
        <w:rPr>
          <w:rFonts w:ascii="Arial"/>
        </w:rPr>
        <w:t>Regulated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Entity by any other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body.</w:t>
      </w:r>
    </w:p>
    <w:p w:rsidR="0037220F" w:rsidRDefault="0037220F">
      <w:pPr>
        <w:spacing w:before="11"/>
        <w:rPr>
          <w:rFonts w:ascii="Arial" w:eastAsia="Arial" w:hAnsi="Arial" w:cs="Arial"/>
          <w:sz w:val="20"/>
          <w:szCs w:val="20"/>
        </w:rPr>
      </w:pPr>
    </w:p>
    <w:p w:rsidR="0037220F" w:rsidRDefault="00F1592F">
      <w:pPr>
        <w:pStyle w:val="ListParagraph"/>
        <w:numPr>
          <w:ilvl w:val="1"/>
          <w:numId w:val="1"/>
        </w:numPr>
        <w:tabs>
          <w:tab w:val="left" w:pos="808"/>
        </w:tabs>
        <w:ind w:right="117"/>
        <w:jc w:val="both"/>
        <w:rPr>
          <w:rFonts w:ascii="Arial" w:eastAsia="Arial" w:hAnsi="Arial" w:cs="Arial"/>
        </w:rPr>
      </w:pPr>
      <w:r>
        <w:rPr>
          <w:rFonts w:ascii="Arial"/>
        </w:rPr>
        <w:t>The</w:t>
      </w:r>
      <w:r>
        <w:rPr>
          <w:rFonts w:ascii="Arial"/>
          <w:spacing w:val="35"/>
        </w:rPr>
        <w:t xml:space="preserve"> </w:t>
      </w:r>
      <w:r>
        <w:rPr>
          <w:rFonts w:ascii="Arial"/>
        </w:rPr>
        <w:t>following</w:t>
      </w:r>
      <w:r>
        <w:rPr>
          <w:rFonts w:ascii="Arial"/>
          <w:spacing w:val="37"/>
        </w:rPr>
        <w:t xml:space="preserve"> </w:t>
      </w:r>
      <w:r>
        <w:rPr>
          <w:rFonts w:ascii="Arial"/>
        </w:rPr>
        <w:t>non-exhaustive</w:t>
      </w:r>
      <w:r>
        <w:rPr>
          <w:rFonts w:ascii="Arial"/>
          <w:spacing w:val="36"/>
        </w:rPr>
        <w:t xml:space="preserve"> </w:t>
      </w:r>
      <w:r>
        <w:rPr>
          <w:rFonts w:ascii="Arial"/>
        </w:rPr>
        <w:t>list</w:t>
      </w:r>
      <w:r>
        <w:rPr>
          <w:rFonts w:ascii="Arial"/>
          <w:spacing w:val="37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36"/>
        </w:rPr>
        <w:t xml:space="preserve"> </w:t>
      </w:r>
      <w:r>
        <w:rPr>
          <w:rFonts w:ascii="Arial"/>
        </w:rPr>
        <w:t>factors</w:t>
      </w:r>
      <w:r>
        <w:rPr>
          <w:rFonts w:ascii="Arial"/>
          <w:spacing w:val="37"/>
        </w:rPr>
        <w:t xml:space="preserve"> </w:t>
      </w:r>
      <w:r>
        <w:rPr>
          <w:rFonts w:ascii="Arial"/>
        </w:rPr>
        <w:t>may</w:t>
      </w:r>
      <w:r>
        <w:rPr>
          <w:rFonts w:ascii="Arial"/>
          <w:spacing w:val="36"/>
        </w:rPr>
        <w:t xml:space="preserve"> </w:t>
      </w:r>
      <w:r>
        <w:rPr>
          <w:rFonts w:ascii="Arial"/>
        </w:rPr>
        <w:t>have</w:t>
      </w:r>
      <w:r>
        <w:rPr>
          <w:rFonts w:ascii="Arial"/>
          <w:spacing w:val="37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37"/>
        </w:rPr>
        <w:t xml:space="preserve"> </w:t>
      </w:r>
      <w:r>
        <w:rPr>
          <w:rFonts w:ascii="Arial"/>
        </w:rPr>
        <w:t>effect</w:t>
      </w:r>
      <w:r>
        <w:rPr>
          <w:rFonts w:ascii="Arial"/>
          <w:spacing w:val="37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36"/>
        </w:rPr>
        <w:t xml:space="preserve"> </w:t>
      </w:r>
      <w:r>
        <w:rPr>
          <w:rFonts w:ascii="Arial"/>
        </w:rPr>
        <w:t>aggravating</w:t>
      </w:r>
      <w:r>
        <w:rPr>
          <w:rFonts w:ascii="Arial"/>
          <w:spacing w:val="37"/>
        </w:rPr>
        <w:t xml:space="preserve"> </w:t>
      </w:r>
      <w:r>
        <w:rPr>
          <w:rFonts w:ascii="Arial"/>
        </w:rPr>
        <w:t>or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mitigating a Regulated Entity's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conduct:</w:t>
      </w:r>
    </w:p>
    <w:p w:rsidR="0037220F" w:rsidRDefault="0037220F">
      <w:pPr>
        <w:spacing w:before="9"/>
        <w:rPr>
          <w:rFonts w:ascii="Arial" w:eastAsia="Arial" w:hAnsi="Arial" w:cs="Arial"/>
          <w:sz w:val="20"/>
          <w:szCs w:val="20"/>
        </w:rPr>
      </w:pPr>
    </w:p>
    <w:p w:rsidR="0037220F" w:rsidRDefault="00F1592F">
      <w:pPr>
        <w:pStyle w:val="ListParagraph"/>
        <w:numPr>
          <w:ilvl w:val="2"/>
          <w:numId w:val="1"/>
        </w:numPr>
        <w:tabs>
          <w:tab w:val="left" w:pos="1519"/>
        </w:tabs>
        <w:ind w:right="117" w:hanging="710"/>
        <w:rPr>
          <w:rFonts w:ascii="Arial" w:eastAsia="Arial" w:hAnsi="Arial" w:cs="Arial"/>
        </w:rPr>
      </w:pPr>
      <w:r>
        <w:rPr>
          <w:rFonts w:ascii="Arial"/>
        </w:rPr>
        <w:t>the</w:t>
      </w:r>
      <w:r>
        <w:rPr>
          <w:rFonts w:ascii="Arial"/>
          <w:spacing w:val="37"/>
        </w:rPr>
        <w:t xml:space="preserve"> </w:t>
      </w:r>
      <w:r>
        <w:rPr>
          <w:rFonts w:ascii="Arial"/>
        </w:rPr>
        <w:t>conduct</w:t>
      </w:r>
      <w:r>
        <w:rPr>
          <w:rFonts w:ascii="Arial"/>
          <w:spacing w:val="37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36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37"/>
        </w:rPr>
        <w:t xml:space="preserve"> </w:t>
      </w:r>
      <w:r>
        <w:rPr>
          <w:rFonts w:ascii="Arial"/>
        </w:rPr>
        <w:t>Regulated</w:t>
      </w:r>
      <w:r>
        <w:rPr>
          <w:rFonts w:ascii="Arial"/>
          <w:spacing w:val="37"/>
        </w:rPr>
        <w:t xml:space="preserve"> </w:t>
      </w:r>
      <w:r>
        <w:rPr>
          <w:rFonts w:ascii="Arial"/>
        </w:rPr>
        <w:t>Entity</w:t>
      </w:r>
      <w:r>
        <w:rPr>
          <w:rFonts w:ascii="Arial"/>
          <w:spacing w:val="36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36"/>
        </w:rPr>
        <w:t xml:space="preserve"> </w:t>
      </w:r>
      <w:r>
        <w:rPr>
          <w:rFonts w:ascii="Arial"/>
        </w:rPr>
        <w:t>bringing</w:t>
      </w:r>
      <w:r>
        <w:rPr>
          <w:rFonts w:ascii="Arial"/>
          <w:spacing w:val="37"/>
        </w:rPr>
        <w:t xml:space="preserve"> </w:t>
      </w:r>
      <w:r>
        <w:rPr>
          <w:rFonts w:ascii="Arial"/>
        </w:rPr>
        <w:t>(or</w:t>
      </w:r>
      <w:r>
        <w:rPr>
          <w:rFonts w:ascii="Arial"/>
          <w:spacing w:val="35"/>
        </w:rPr>
        <w:t xml:space="preserve"> </w:t>
      </w:r>
      <w:r>
        <w:rPr>
          <w:rFonts w:ascii="Arial"/>
        </w:rPr>
        <w:t>failing</w:t>
      </w:r>
      <w:r>
        <w:rPr>
          <w:rFonts w:ascii="Arial"/>
          <w:spacing w:val="35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37"/>
        </w:rPr>
        <w:t xml:space="preserve"> </w:t>
      </w:r>
      <w:r>
        <w:rPr>
          <w:rFonts w:ascii="Arial"/>
        </w:rPr>
        <w:t>bring)</w:t>
      </w:r>
      <w:r>
        <w:rPr>
          <w:rFonts w:ascii="Arial"/>
          <w:spacing w:val="35"/>
        </w:rPr>
        <w:t xml:space="preserve"> </w:t>
      </w:r>
      <w:r>
        <w:rPr>
          <w:rFonts w:ascii="Arial"/>
        </w:rPr>
        <w:t>quickly,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effectively and completely the matter concerned to the Regulator's</w:t>
      </w:r>
      <w:r>
        <w:rPr>
          <w:rFonts w:ascii="Arial"/>
          <w:spacing w:val="-30"/>
        </w:rPr>
        <w:t xml:space="preserve"> </w:t>
      </w:r>
      <w:r>
        <w:rPr>
          <w:rFonts w:ascii="Arial"/>
        </w:rPr>
        <w:t>attention;</w:t>
      </w:r>
    </w:p>
    <w:p w:rsidR="0037220F" w:rsidRDefault="0037220F">
      <w:pPr>
        <w:rPr>
          <w:rFonts w:ascii="Arial" w:eastAsia="Arial" w:hAnsi="Arial" w:cs="Arial"/>
        </w:rPr>
        <w:sectPr w:rsidR="0037220F">
          <w:type w:val="continuous"/>
          <w:pgSz w:w="11910" w:h="16840"/>
          <w:pgMar w:top="1360" w:right="1320" w:bottom="1180" w:left="1340" w:header="720" w:footer="720" w:gutter="0"/>
          <w:cols w:space="720"/>
        </w:sectPr>
      </w:pPr>
    </w:p>
    <w:p w:rsidR="0037220F" w:rsidRDefault="00F1592F">
      <w:pPr>
        <w:pStyle w:val="ListParagraph"/>
        <w:numPr>
          <w:ilvl w:val="2"/>
          <w:numId w:val="1"/>
        </w:numPr>
        <w:tabs>
          <w:tab w:val="left" w:pos="1179"/>
        </w:tabs>
        <w:spacing w:before="61"/>
        <w:ind w:left="1178" w:right="114" w:hanging="710"/>
        <w:jc w:val="both"/>
        <w:rPr>
          <w:rFonts w:ascii="Arial" w:eastAsia="Arial" w:hAnsi="Arial" w:cs="Arial"/>
        </w:rPr>
      </w:pPr>
      <w:r>
        <w:rPr>
          <w:rFonts w:ascii="Arial"/>
        </w:rPr>
        <w:lastRenderedPageBreak/>
        <w:t>the degree of cooperation of the Regulated Entity with the Regulator during</w:t>
      </w:r>
      <w:r>
        <w:rPr>
          <w:rFonts w:ascii="Arial"/>
          <w:spacing w:val="32"/>
        </w:rPr>
        <w:t xml:space="preserve"> </w:t>
      </w:r>
      <w:r>
        <w:rPr>
          <w:rFonts w:ascii="Arial"/>
        </w:rPr>
        <w:t>a</w:t>
      </w:r>
      <w:r>
        <w:rPr>
          <w:rFonts w:ascii="Arial"/>
        </w:rPr>
        <w:t xml:space="preserve"> </w:t>
      </w:r>
      <w:r>
        <w:rPr>
          <w:rFonts w:ascii="Arial"/>
        </w:rPr>
        <w:t>Standards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Investigation;</w:t>
      </w:r>
    </w:p>
    <w:p w:rsidR="0037220F" w:rsidRDefault="0037220F">
      <w:pPr>
        <w:spacing w:before="11"/>
        <w:rPr>
          <w:rFonts w:ascii="Arial" w:eastAsia="Arial" w:hAnsi="Arial" w:cs="Arial"/>
          <w:sz w:val="20"/>
          <w:szCs w:val="20"/>
        </w:rPr>
      </w:pPr>
    </w:p>
    <w:p w:rsidR="0037220F" w:rsidRDefault="00F1592F">
      <w:pPr>
        <w:pStyle w:val="ListParagraph"/>
        <w:numPr>
          <w:ilvl w:val="2"/>
          <w:numId w:val="1"/>
        </w:numPr>
        <w:tabs>
          <w:tab w:val="left" w:pos="1179"/>
        </w:tabs>
        <w:ind w:left="1178" w:right="118" w:hanging="710"/>
        <w:jc w:val="both"/>
        <w:rPr>
          <w:rFonts w:ascii="Arial" w:eastAsia="Arial" w:hAnsi="Arial" w:cs="Arial"/>
        </w:rPr>
      </w:pPr>
      <w:r>
        <w:rPr>
          <w:rFonts w:ascii="Arial"/>
        </w:rPr>
        <w:t>whether the Regulated Entity's senior management were aware of</w:t>
      </w:r>
      <w:r>
        <w:rPr>
          <w:rFonts w:ascii="Arial"/>
          <w:spacing w:val="51"/>
        </w:rPr>
        <w:t xml:space="preserve"> </w:t>
      </w:r>
      <w:r>
        <w:rPr>
          <w:rFonts w:ascii="Arial"/>
        </w:rPr>
        <w:t>the</w:t>
      </w:r>
      <w:r>
        <w:rPr>
          <w:rFonts w:ascii="Arial"/>
        </w:rPr>
        <w:t xml:space="preserve"> </w:t>
      </w:r>
      <w:r>
        <w:rPr>
          <w:rFonts w:ascii="Arial"/>
        </w:rPr>
        <w:t>Regulated Entity'</w:t>
      </w:r>
      <w:r>
        <w:rPr>
          <w:rFonts w:ascii="Arial"/>
        </w:rPr>
        <w:t>s conduct whether they took any steps to stop and/or</w:t>
      </w:r>
      <w:r>
        <w:rPr>
          <w:rFonts w:ascii="Arial"/>
          <w:spacing w:val="-31"/>
        </w:rPr>
        <w:t xml:space="preserve"> </w:t>
      </w:r>
      <w:r>
        <w:rPr>
          <w:rFonts w:ascii="Arial"/>
        </w:rPr>
        <w:t>remedy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this conduct, and when these steps were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taken;</w:t>
      </w:r>
    </w:p>
    <w:p w:rsidR="0037220F" w:rsidRDefault="0037220F">
      <w:pPr>
        <w:spacing w:before="9"/>
        <w:rPr>
          <w:rFonts w:ascii="Arial" w:eastAsia="Arial" w:hAnsi="Arial" w:cs="Arial"/>
          <w:sz w:val="20"/>
          <w:szCs w:val="20"/>
        </w:rPr>
      </w:pPr>
    </w:p>
    <w:p w:rsidR="0037220F" w:rsidRDefault="00F1592F">
      <w:pPr>
        <w:pStyle w:val="ListParagraph"/>
        <w:numPr>
          <w:ilvl w:val="2"/>
          <w:numId w:val="1"/>
        </w:numPr>
        <w:tabs>
          <w:tab w:val="left" w:pos="1179"/>
        </w:tabs>
        <w:ind w:left="1178" w:right="116" w:hanging="710"/>
        <w:jc w:val="both"/>
        <w:rPr>
          <w:rFonts w:ascii="Arial" w:eastAsia="Arial" w:hAnsi="Arial" w:cs="Arial"/>
        </w:rPr>
      </w:pPr>
      <w:r>
        <w:rPr>
          <w:rFonts w:ascii="Arial"/>
        </w:rPr>
        <w:t>any financial impact suffered by the Regulated Entity arising from</w:t>
      </w:r>
      <w:r>
        <w:rPr>
          <w:rFonts w:ascii="Arial"/>
          <w:spacing w:val="21"/>
        </w:rPr>
        <w:t xml:space="preserve"> </w:t>
      </w:r>
      <w:r>
        <w:rPr>
          <w:rFonts w:ascii="Arial"/>
        </w:rPr>
        <w:t>the</w:t>
      </w:r>
      <w:r>
        <w:rPr>
          <w:rFonts w:ascii="Arial"/>
        </w:rPr>
        <w:t xml:space="preserve"> </w:t>
      </w:r>
      <w:r>
        <w:rPr>
          <w:rFonts w:ascii="Arial"/>
        </w:rPr>
        <w:t>Regulated Entity's conduct;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and</w:t>
      </w:r>
    </w:p>
    <w:p w:rsidR="0037220F" w:rsidRDefault="0037220F">
      <w:pPr>
        <w:spacing w:before="11"/>
        <w:rPr>
          <w:rFonts w:ascii="Arial" w:eastAsia="Arial" w:hAnsi="Arial" w:cs="Arial"/>
          <w:sz w:val="20"/>
          <w:szCs w:val="20"/>
        </w:rPr>
      </w:pPr>
    </w:p>
    <w:p w:rsidR="0037220F" w:rsidRDefault="00F1592F">
      <w:pPr>
        <w:pStyle w:val="ListParagraph"/>
        <w:numPr>
          <w:ilvl w:val="2"/>
          <w:numId w:val="1"/>
        </w:numPr>
        <w:tabs>
          <w:tab w:val="left" w:pos="1179"/>
        </w:tabs>
        <w:ind w:left="1178" w:hanging="710"/>
        <w:rPr>
          <w:rFonts w:ascii="Arial" w:eastAsia="Arial" w:hAnsi="Arial" w:cs="Arial"/>
        </w:rPr>
      </w:pPr>
      <w:r>
        <w:rPr>
          <w:rFonts w:ascii="Arial"/>
        </w:rPr>
        <w:t>the previous record and compliance history o</w:t>
      </w:r>
      <w:r>
        <w:rPr>
          <w:rFonts w:ascii="Arial"/>
        </w:rPr>
        <w:t>f the Regulated</w:t>
      </w:r>
      <w:r>
        <w:rPr>
          <w:rFonts w:ascii="Arial"/>
          <w:spacing w:val="-18"/>
        </w:rPr>
        <w:t xml:space="preserve"> </w:t>
      </w:r>
      <w:r>
        <w:rPr>
          <w:rFonts w:ascii="Arial"/>
        </w:rPr>
        <w:t>Entity.</w:t>
      </w:r>
    </w:p>
    <w:sectPr w:rsidR="0037220F">
      <w:pgSz w:w="11910" w:h="16840"/>
      <w:pgMar w:top="1360" w:right="1320" w:bottom="1180" w:left="1680" w:header="0" w:footer="9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1592F">
      <w:r>
        <w:separator/>
      </w:r>
    </w:p>
  </w:endnote>
  <w:endnote w:type="continuationSeparator" w:id="0">
    <w:p w:rsidR="00000000" w:rsidRDefault="00F15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20F" w:rsidRDefault="00F1592F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6549390</wp:posOffset>
              </wp:positionH>
              <wp:positionV relativeFrom="page">
                <wp:posOffset>9921240</wp:posOffset>
              </wp:positionV>
              <wp:extent cx="121285" cy="152400"/>
              <wp:effectExtent l="0" t="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220F" w:rsidRDefault="00F1592F">
                          <w:pPr>
                            <w:spacing w:line="224" w:lineRule="exact"/>
                            <w:ind w:left="4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5.7pt;margin-top:781.2pt;width:9.5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" filled="f" stroked="f">
              <v:textbox inset="0,0,0,0">
                <w:txbxContent>
                  <w:p w:rsidR="0037220F" w:rsidRDefault="00F1592F">
                    <w:pPr>
                      <w:spacing w:line="224" w:lineRule="exact"/>
                      <w:ind w:left="4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1592F">
      <w:r>
        <w:separator/>
      </w:r>
    </w:p>
  </w:footnote>
  <w:footnote w:type="continuationSeparator" w:id="0">
    <w:p w:rsidR="00000000" w:rsidRDefault="00F15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14D7"/>
    <w:multiLevelType w:val="multilevel"/>
    <w:tmpl w:val="B10CBB4A"/>
    <w:lvl w:ilvl="0">
      <w:start w:val="1"/>
      <w:numFmt w:val="decimal"/>
      <w:lvlText w:val="%1."/>
      <w:lvlJc w:val="left"/>
      <w:pPr>
        <w:ind w:left="805" w:hanging="706"/>
        <w:jc w:val="left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808" w:hanging="708"/>
        <w:jc w:val="left"/>
      </w:pPr>
      <w:rPr>
        <w:rFonts w:ascii="Arial" w:eastAsia="Arial" w:hAnsi="Arial" w:hint="default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1518" w:hanging="711"/>
        <w:jc w:val="left"/>
      </w:pPr>
      <w:rPr>
        <w:rFonts w:ascii="Arial" w:eastAsia="Arial" w:hAnsi="Arial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646" w:hanging="7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09" w:hanging="7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73" w:hanging="7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836" w:hanging="7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899" w:hanging="7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963" w:hanging="71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20F"/>
    <w:rsid w:val="0037220F"/>
    <w:rsid w:val="00F1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7CCC4AEC-FC1C-487A-AB15-5962CBCB8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05" w:hanging="705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18" w:hanging="71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A24571BA.dotm</Template>
  <TotalTime>0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RPC_DOCS1-#13852753-v4-FINANCIAL_SANCTIONS_GUIDANCE.doc</vt:lpstr>
    </vt:vector>
  </TitlesOfParts>
  <Company/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RPC_DOCS1-#13852753-v4-FINANCIAL_SANCTIONS_GUIDANCE.doc</dc:title>
  <dc:creator>Tonia Milton</dc:creator>
  <cp:lastModifiedBy>Tonia Milton</cp:lastModifiedBy>
  <cp:revision>2</cp:revision>
  <dcterms:created xsi:type="dcterms:W3CDTF">2016-02-02T11:46:00Z</dcterms:created>
  <dcterms:modified xsi:type="dcterms:W3CDTF">2016-02-02T11:46:00Z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2013-11-21T00:00:00Z</vt:filetime>
  </property>
  <property fmtid="{D5CDD505-2E9C-101B-9397-08002B2CF9AE}" pid="3" name="LastSaved">
    <vt:filetime>2015-09-28T00:00:00Z</vt:filetime>
  </property>
</Properties>
</file>